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CC6" w:rsidRPr="00410C2E" w:rsidRDefault="00851CC6" w:rsidP="00851CC6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14. TERORIZEM</w:t>
      </w:r>
    </w:p>
    <w:p w:rsidR="008C11B4" w:rsidRDefault="008C11B4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BD1971" w:rsidRDefault="00CB7DFA" w:rsidP="00BD1971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B7DFA">
        <w:rPr>
          <w:rFonts w:ascii="Arial" w:eastAsia="Calibri" w:hAnsi="Arial" w:cs="Arial"/>
          <w:b/>
          <w:color w:val="000000"/>
          <w:lang w:eastAsia="en-US"/>
        </w:rPr>
        <w:t>Viri</w:t>
      </w:r>
    </w:p>
    <w:p w:rsidR="00533395" w:rsidRPr="00003A22" w:rsidRDefault="00533395" w:rsidP="00533395">
      <w:pPr>
        <w:rPr>
          <w:rFonts w:ascii="Arial" w:eastAsia="Calibri" w:hAnsi="Arial" w:cs="Arial"/>
          <w:color w:val="000000"/>
          <w:lang w:eastAsia="en-US"/>
        </w:rPr>
      </w:pPr>
    </w:p>
    <w:p w:rsidR="008950BB" w:rsidRPr="00003A22" w:rsidRDefault="00003A22" w:rsidP="00EB0F2F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D</w:t>
      </w:r>
      <w:r w:rsidRPr="00003A22">
        <w:rPr>
          <w:rFonts w:ascii="Arial" w:hAnsi="Arial" w:cs="Arial"/>
          <w:bCs/>
          <w:color w:val="000000"/>
        </w:rPr>
        <w:t xml:space="preserve">elovni </w:t>
      </w:r>
      <w:r w:rsidR="00176560">
        <w:rPr>
          <w:rFonts w:ascii="Arial" w:hAnsi="Arial" w:cs="Arial"/>
          <w:bCs/>
          <w:color w:val="000000"/>
        </w:rPr>
        <w:t>l</w:t>
      </w:r>
      <w:r w:rsidR="00851CC6">
        <w:rPr>
          <w:rFonts w:ascii="Arial" w:hAnsi="Arial" w:cs="Arial"/>
          <w:bCs/>
          <w:color w:val="000000"/>
        </w:rPr>
        <w:t>ist Terorizem</w:t>
      </w:r>
      <w:r w:rsidR="00ED2F58" w:rsidRPr="00ED2F58">
        <w:rPr>
          <w:rFonts w:ascii="Arial" w:hAnsi="Arial" w:cs="Arial"/>
          <w:color w:val="000000"/>
        </w:rPr>
        <w:t>.</w:t>
      </w:r>
    </w:p>
    <w:p w:rsidR="00950465" w:rsidRPr="002A108F" w:rsidRDefault="00950465" w:rsidP="00950465">
      <w:pPr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Gabrič, A.,</w:t>
      </w:r>
      <w:r w:rsidRPr="002A108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Režek, M. (2011). Zgodovina 4</w:t>
      </w:r>
      <w:r w:rsidRPr="002A108F">
        <w:rPr>
          <w:rFonts w:ascii="Arial" w:hAnsi="Arial" w:cs="Arial"/>
          <w:color w:val="000000"/>
        </w:rPr>
        <w:t xml:space="preserve">. Učbenik za </w:t>
      </w:r>
      <w:r>
        <w:rPr>
          <w:rFonts w:ascii="Arial" w:hAnsi="Arial" w:cs="Arial"/>
          <w:color w:val="000000"/>
        </w:rPr>
        <w:t>četrti</w:t>
      </w:r>
      <w:r w:rsidRPr="002A108F">
        <w:rPr>
          <w:rFonts w:ascii="Arial" w:hAnsi="Arial" w:cs="Arial"/>
          <w:color w:val="000000"/>
        </w:rPr>
        <w:t xml:space="preserve"> letnik gimnazije. Ljubljana: DZS.</w:t>
      </w:r>
    </w:p>
    <w:p w:rsidR="00176560" w:rsidRPr="00851CC6" w:rsidRDefault="00B04C5F" w:rsidP="00176560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Svet po drugi svetovni vojni – povezovanje in demokratizacija: </w:t>
      </w:r>
      <w:hyperlink r:id="rId7" w:history="1">
        <w:r w:rsidRPr="00673966">
          <w:rPr>
            <w:rStyle w:val="Hiperpovezava"/>
            <w:rFonts w:ascii="Arial" w:hAnsi="Arial" w:cs="Arial"/>
          </w:rPr>
          <w:t>http://mss.svarog.si/zgodovina/4/index.php?page_id=8345</w:t>
        </w:r>
      </w:hyperlink>
      <w:r>
        <w:rPr>
          <w:rFonts w:ascii="Arial" w:hAnsi="Arial" w:cs="Arial"/>
        </w:rPr>
        <w:t xml:space="preserve"> (dostop: 29. 7. 2016).</w:t>
      </w:r>
    </w:p>
    <w:p w:rsidR="00851CC6" w:rsidRPr="00851CC6" w:rsidRDefault="00851CC6" w:rsidP="00851CC6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 w:rsidRPr="00851CC6">
        <w:rPr>
          <w:rFonts w:ascii="Arial" w:hAnsi="Arial" w:cs="Arial"/>
          <w:color w:val="000000"/>
        </w:rPr>
        <w:t xml:space="preserve">Dokumentarni film </w:t>
      </w:r>
      <w:r w:rsidRPr="00851CC6">
        <w:rPr>
          <w:rFonts w:ascii="Arial" w:hAnsi="Arial" w:cs="Arial"/>
          <w:color w:val="000000"/>
        </w:rPr>
        <w:t xml:space="preserve">Age </w:t>
      </w:r>
      <w:proofErr w:type="spellStart"/>
      <w:r w:rsidRPr="00851CC6">
        <w:rPr>
          <w:rFonts w:ascii="Arial" w:hAnsi="Arial" w:cs="Arial"/>
          <w:color w:val="000000"/>
        </w:rPr>
        <w:t>of</w:t>
      </w:r>
      <w:proofErr w:type="spellEnd"/>
      <w:r w:rsidRPr="00851CC6">
        <w:rPr>
          <w:rFonts w:ascii="Arial" w:hAnsi="Arial" w:cs="Arial"/>
          <w:color w:val="000000"/>
        </w:rPr>
        <w:t xml:space="preserve"> </w:t>
      </w:r>
      <w:proofErr w:type="spellStart"/>
      <w:r w:rsidRPr="00851CC6">
        <w:rPr>
          <w:rFonts w:ascii="Arial" w:hAnsi="Arial" w:cs="Arial"/>
          <w:color w:val="000000"/>
        </w:rPr>
        <w:t>Terror</w:t>
      </w:r>
      <w:proofErr w:type="spellEnd"/>
      <w:r w:rsidRPr="00851CC6">
        <w:rPr>
          <w:rFonts w:ascii="Arial" w:hAnsi="Arial" w:cs="Arial"/>
          <w:color w:val="000000"/>
        </w:rPr>
        <w:t xml:space="preserve"> (1</w:t>
      </w:r>
      <w:r w:rsidRPr="00851CC6">
        <w:rPr>
          <w:color w:val="000000"/>
        </w:rPr>
        <w:t>–</w:t>
      </w:r>
      <w:r w:rsidRPr="00851CC6">
        <w:rPr>
          <w:rFonts w:ascii="Arial" w:hAnsi="Arial" w:cs="Arial"/>
          <w:color w:val="000000"/>
        </w:rPr>
        <w:t>4)</w:t>
      </w:r>
      <w:r w:rsidRPr="00851CC6">
        <w:rPr>
          <w:rFonts w:ascii="Arial" w:hAnsi="Arial" w:cs="Arial"/>
          <w:color w:val="000000"/>
        </w:rPr>
        <w:t>:</w:t>
      </w:r>
      <w:r w:rsidRPr="00851CC6">
        <w:rPr>
          <w:rFonts w:ascii="Arial" w:hAnsi="Arial" w:cs="Arial"/>
          <w:color w:val="000000"/>
        </w:rPr>
        <w:t xml:space="preserve"> </w:t>
      </w:r>
      <w:hyperlink r:id="rId8" w:history="1">
        <w:r w:rsidRPr="00851CC6">
          <w:rPr>
            <w:rStyle w:val="Hiperpovezava"/>
            <w:rFonts w:ascii="Arial" w:hAnsi="Arial" w:cs="Arial"/>
          </w:rPr>
          <w:t>https://www.youtube.com/watch?v=AQ69V4BqhKs</w:t>
        </w:r>
      </w:hyperlink>
      <w:r w:rsidRPr="00851CC6">
        <w:rPr>
          <w:rFonts w:ascii="Arial" w:hAnsi="Arial" w:cs="Arial"/>
          <w:color w:val="000000"/>
        </w:rPr>
        <w:t xml:space="preserve"> (dostop: 29. 7. 2016).</w:t>
      </w:r>
    </w:p>
    <w:p w:rsidR="00851CC6" w:rsidRPr="00851CC6" w:rsidRDefault="00851CC6" w:rsidP="00851CC6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 w:rsidRPr="00851CC6">
        <w:rPr>
          <w:rFonts w:ascii="Arial" w:hAnsi="Arial" w:cs="Arial"/>
          <w:color w:val="000000"/>
        </w:rPr>
        <w:t xml:space="preserve"> Filmi:</w:t>
      </w:r>
    </w:p>
    <w:p w:rsidR="00851CC6" w:rsidRDefault="00851CC6" w:rsidP="00851CC6">
      <w:pPr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Michael Collins (IRA).</w:t>
      </w:r>
    </w:p>
    <w:p w:rsidR="00851CC6" w:rsidRDefault="00851CC6" w:rsidP="00851CC6">
      <w:pPr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Münich</w:t>
      </w:r>
      <w:proofErr w:type="spellEnd"/>
      <w:r>
        <w:rPr>
          <w:rFonts w:ascii="Arial" w:hAnsi="Arial" w:cs="Arial"/>
          <w:color w:val="000000"/>
        </w:rPr>
        <w:t xml:space="preserve"> (OI, 1972).</w:t>
      </w:r>
    </w:p>
    <w:p w:rsidR="00851CC6" w:rsidRDefault="00851CC6" w:rsidP="00851CC6">
      <w:pPr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Patriot </w:t>
      </w:r>
      <w:proofErr w:type="spellStart"/>
      <w:r>
        <w:rPr>
          <w:rFonts w:ascii="Arial" w:hAnsi="Arial" w:cs="Arial"/>
          <w:color w:val="000000"/>
        </w:rPr>
        <w:t>Games</w:t>
      </w:r>
      <w:proofErr w:type="spellEnd"/>
      <w:r>
        <w:rPr>
          <w:rFonts w:ascii="Arial" w:hAnsi="Arial" w:cs="Arial"/>
          <w:color w:val="000000"/>
        </w:rPr>
        <w:t xml:space="preserve"> (IRA).</w:t>
      </w:r>
      <w:bookmarkStart w:id="0" w:name="_GoBack"/>
      <w:bookmarkEnd w:id="0"/>
    </w:p>
    <w:p w:rsidR="00851CC6" w:rsidRDefault="00851CC6" w:rsidP="00851CC6">
      <w:pPr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United</w:t>
      </w:r>
      <w:proofErr w:type="spellEnd"/>
      <w:r>
        <w:rPr>
          <w:rFonts w:ascii="Arial" w:hAnsi="Arial" w:cs="Arial"/>
          <w:color w:val="000000"/>
        </w:rPr>
        <w:t xml:space="preserve"> 93.</w:t>
      </w:r>
    </w:p>
    <w:p w:rsidR="00851CC6" w:rsidRDefault="00851CC6" w:rsidP="00851CC6">
      <w:pPr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name </w:t>
      </w:r>
      <w:proofErr w:type="spellStart"/>
      <w:r>
        <w:rPr>
          <w:rFonts w:ascii="Arial" w:hAnsi="Arial" w:cs="Arial"/>
          <w:color w:val="000000"/>
        </w:rPr>
        <w:t>of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father</w:t>
      </w:r>
      <w:proofErr w:type="spellEnd"/>
      <w:r>
        <w:rPr>
          <w:rFonts w:ascii="Arial" w:hAnsi="Arial" w:cs="Arial"/>
          <w:color w:val="000000"/>
        </w:rPr>
        <w:t>.</w:t>
      </w:r>
    </w:p>
    <w:p w:rsidR="00851CC6" w:rsidRDefault="00851CC6" w:rsidP="00851CC6">
      <w:pPr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Paradise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now</w:t>
      </w:r>
      <w:proofErr w:type="spellEnd"/>
      <w:r>
        <w:rPr>
          <w:rFonts w:ascii="Arial" w:hAnsi="Arial" w:cs="Arial"/>
          <w:color w:val="000000"/>
        </w:rPr>
        <w:t>.</w:t>
      </w:r>
    </w:p>
    <w:p w:rsidR="007F72AC" w:rsidRPr="00EB0F2F" w:rsidRDefault="007F72AC" w:rsidP="00356F2B">
      <w:pPr>
        <w:rPr>
          <w:rFonts w:ascii="Arial" w:hAnsi="Arial" w:cs="Arial"/>
        </w:rPr>
      </w:pPr>
    </w:p>
    <w:p w:rsidR="00356F2B" w:rsidRPr="00356F2B" w:rsidRDefault="00356F2B" w:rsidP="00356F2B">
      <w:pPr>
        <w:rPr>
          <w:rFonts w:ascii="Arial" w:hAnsi="Arial" w:cs="Arial"/>
        </w:rPr>
      </w:pPr>
      <w:r>
        <w:rPr>
          <w:rFonts w:ascii="Arial" w:hAnsi="Arial" w:cs="Arial"/>
        </w:rPr>
        <w:t>Pri</w:t>
      </w:r>
      <w:r w:rsidRPr="00356F2B">
        <w:rPr>
          <w:rFonts w:ascii="Arial" w:hAnsi="Arial" w:cs="Arial"/>
        </w:rPr>
        <w:t xml:space="preserve"> učenju lahko uporabite tudi vse druge vire. </w:t>
      </w: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</w:rPr>
      </w:pPr>
      <w:r w:rsidRPr="00585876">
        <w:rPr>
          <w:rFonts w:ascii="Arial" w:hAnsi="Arial" w:cs="Arial"/>
        </w:rPr>
        <w:t xml:space="preserve">Samostojno </w:t>
      </w:r>
      <w:r>
        <w:rPr>
          <w:rFonts w:ascii="Arial" w:hAnsi="Arial" w:cs="Arial"/>
        </w:rPr>
        <w:t xml:space="preserve">ali s pomočjo učitelja </w:t>
      </w:r>
      <w:r w:rsidRPr="00585876">
        <w:rPr>
          <w:rFonts w:ascii="Arial" w:hAnsi="Arial" w:cs="Arial"/>
        </w:rPr>
        <w:t>določi čas, ki ga boš porabil za učenje teme in izpolnjevanje delovnega lista.</w:t>
      </w:r>
    </w:p>
    <w:p w:rsidR="00223709" w:rsidRDefault="00223709" w:rsidP="00615585">
      <w:pPr>
        <w:contextualSpacing/>
        <w:rPr>
          <w:rFonts w:ascii="Arial" w:hAnsi="Arial" w:cs="Arial"/>
        </w:rPr>
      </w:pPr>
    </w:p>
    <w:p w:rsidR="00615585" w:rsidRPr="00585876" w:rsidRDefault="00615585" w:rsidP="00615585">
      <w:pPr>
        <w:contextualSpacing/>
        <w:rPr>
          <w:rFonts w:ascii="Arial" w:hAnsi="Arial" w:cs="Arial"/>
          <w:b/>
        </w:rPr>
      </w:pPr>
      <w:r w:rsidRPr="00585876">
        <w:rPr>
          <w:rFonts w:ascii="Arial" w:hAnsi="Arial" w:cs="Arial"/>
          <w:b/>
        </w:rPr>
        <w:t>Strategije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strategija obrobnih razlag (zapiski in opombe na robu besedila, ki se nanašajo na razlago besed in izrazov, usmerjevalna vprašanja, kratek opis besedila, poudarjanje točk v besedilu),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lastRenderedPageBreak/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zapiski in povzetki: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razvidna je zveza med glavnimi mislimi (glavne misli so vizualno ločene od podrobnosti – zapisane so v ločenih stolpcih ali v alinejah – pri alinejah se lahko uporablja številčenje),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vključen je del z novimi pojmi, tujkami ali strokovnimi izrazi z razlagami (tako se krepi besedni zaklad in strokovna terminologija),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zapisane so definicije,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615585" w:rsidRPr="00E377C0" w:rsidRDefault="00615585" w:rsidP="00615585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615585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615585" w:rsidRPr="00502DF3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615585" w:rsidTr="00577331">
        <w:trPr>
          <w:trHeight w:val="274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615585" w:rsidTr="00577331">
        <w:trPr>
          <w:trHeight w:val="493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</w:p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rPr>
          <w:trHeight w:val="493"/>
        </w:trPr>
        <w:tc>
          <w:tcPr>
            <w:tcW w:w="14797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Default="00615585" w:rsidP="00615585">
      <w:pPr>
        <w:rPr>
          <w:b/>
        </w:rPr>
      </w:pPr>
    </w:p>
    <w:p w:rsidR="00502DF3" w:rsidRDefault="00502DF3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c>
          <w:tcPr>
            <w:tcW w:w="14850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 </w:t>
      </w:r>
    </w:p>
    <w:p w:rsidR="00615585" w:rsidRPr="00C5788B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96A7624" wp14:editId="444302EB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lastRenderedPageBreak/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9D3C1EB" wp14:editId="2BC33854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615585" w:rsidRPr="009D322F" w:rsidRDefault="00615585" w:rsidP="00615585">
      <w:pPr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noProof/>
        </w:rPr>
        <w:drawing>
          <wp:inline distT="0" distB="0" distL="0" distR="0" wp14:anchorId="7B54ADD4" wp14:editId="7A9D8A82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</w:rPr>
        <w:t>Tabela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615585" w:rsidRPr="00C5788B" w:rsidRDefault="00615585" w:rsidP="00615585">
      <w:pPr>
        <w:pStyle w:val="Odstavekseznama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615585" w:rsidRDefault="00615585" w:rsidP="00615585">
      <w:pPr>
        <w:pStyle w:val="Odstavekseznama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615585" w:rsidRPr="009D322F" w:rsidRDefault="00615585" w:rsidP="00615585">
      <w:pPr>
        <w:numPr>
          <w:ilvl w:val="0"/>
          <w:numId w:val="14"/>
        </w:num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/>
    <w:p w:rsidR="001D5D2C" w:rsidRDefault="001D5D2C" w:rsidP="001D5D2C"/>
    <w:p w:rsidR="006544E3" w:rsidRDefault="006544E3"/>
    <w:sectPr w:rsidR="006544E3" w:rsidSect="00615585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5A" w:rsidRDefault="00867B5A" w:rsidP="001D5D2C">
      <w:r>
        <w:separator/>
      </w:r>
    </w:p>
  </w:endnote>
  <w:endnote w:type="continuationSeparator" w:id="0">
    <w:p w:rsidR="00867B5A" w:rsidRDefault="00867B5A" w:rsidP="001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5A" w:rsidRDefault="00867B5A" w:rsidP="001D5D2C">
      <w:r>
        <w:separator/>
      </w:r>
    </w:p>
  </w:footnote>
  <w:footnote w:type="continuationSeparator" w:id="0">
    <w:p w:rsidR="00867B5A" w:rsidRDefault="00867B5A" w:rsidP="001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85" w:rsidRDefault="00615585">
    <w:pPr>
      <w:pStyle w:val="Glava"/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35052070" wp14:editId="20BA45FA">
          <wp:simplePos x="0" y="0"/>
          <wp:positionH relativeFrom="margin">
            <wp:posOffset>8448675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1352B8" wp14:editId="37592A3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1BA"/>
    <w:multiLevelType w:val="hybridMultilevel"/>
    <w:tmpl w:val="518A9F8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71E4"/>
    <w:multiLevelType w:val="hybridMultilevel"/>
    <w:tmpl w:val="877C1B2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5790"/>
    <w:multiLevelType w:val="hybridMultilevel"/>
    <w:tmpl w:val="A3F8E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D33E9"/>
    <w:multiLevelType w:val="hybridMultilevel"/>
    <w:tmpl w:val="317E2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00423"/>
    <w:multiLevelType w:val="hybridMultilevel"/>
    <w:tmpl w:val="EFAADD6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F66DD8"/>
    <w:multiLevelType w:val="hybridMultilevel"/>
    <w:tmpl w:val="06544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444915"/>
    <w:multiLevelType w:val="hybridMultilevel"/>
    <w:tmpl w:val="1AFC9066"/>
    <w:lvl w:ilvl="0" w:tplc="2842D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F3EB4"/>
    <w:multiLevelType w:val="hybridMultilevel"/>
    <w:tmpl w:val="271CEAE8"/>
    <w:lvl w:ilvl="0" w:tplc="5B789F6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B01E7"/>
    <w:multiLevelType w:val="hybridMultilevel"/>
    <w:tmpl w:val="F078AB3E"/>
    <w:lvl w:ilvl="0" w:tplc="CD9EB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B78BF"/>
    <w:multiLevelType w:val="hybridMultilevel"/>
    <w:tmpl w:val="6A000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F1962"/>
    <w:multiLevelType w:val="hybridMultilevel"/>
    <w:tmpl w:val="A31AAECA"/>
    <w:lvl w:ilvl="0" w:tplc="A642A9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161774"/>
    <w:multiLevelType w:val="hybridMultilevel"/>
    <w:tmpl w:val="5B647FAE"/>
    <w:lvl w:ilvl="0" w:tplc="92AAFE7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D729F"/>
    <w:multiLevelType w:val="hybridMultilevel"/>
    <w:tmpl w:val="4A644680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E30FA1"/>
    <w:multiLevelType w:val="hybridMultilevel"/>
    <w:tmpl w:val="C1240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5F03CB3"/>
    <w:multiLevelType w:val="hybridMultilevel"/>
    <w:tmpl w:val="B00E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7F1432"/>
    <w:multiLevelType w:val="hybridMultilevel"/>
    <w:tmpl w:val="103886B0"/>
    <w:lvl w:ilvl="0" w:tplc="1004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8"/>
  </w:num>
  <w:num w:numId="3">
    <w:abstractNumId w:val="11"/>
  </w:num>
  <w:num w:numId="4">
    <w:abstractNumId w:val="13"/>
  </w:num>
  <w:num w:numId="5">
    <w:abstractNumId w:val="26"/>
  </w:num>
  <w:num w:numId="6">
    <w:abstractNumId w:val="15"/>
  </w:num>
  <w:num w:numId="7">
    <w:abstractNumId w:val="22"/>
  </w:num>
  <w:num w:numId="8">
    <w:abstractNumId w:val="8"/>
  </w:num>
  <w:num w:numId="9">
    <w:abstractNumId w:val="21"/>
  </w:num>
  <w:num w:numId="10">
    <w:abstractNumId w:val="7"/>
  </w:num>
  <w:num w:numId="11">
    <w:abstractNumId w:val="17"/>
  </w:num>
  <w:num w:numId="12">
    <w:abstractNumId w:val="23"/>
  </w:num>
  <w:num w:numId="13">
    <w:abstractNumId w:val="6"/>
  </w:num>
  <w:num w:numId="14">
    <w:abstractNumId w:val="25"/>
  </w:num>
  <w:num w:numId="15">
    <w:abstractNumId w:val="14"/>
  </w:num>
  <w:num w:numId="16">
    <w:abstractNumId w:val="24"/>
  </w:num>
  <w:num w:numId="17">
    <w:abstractNumId w:val="5"/>
  </w:num>
  <w:num w:numId="18">
    <w:abstractNumId w:val="19"/>
  </w:num>
  <w:num w:numId="19">
    <w:abstractNumId w:val="20"/>
  </w:num>
  <w:num w:numId="20">
    <w:abstractNumId w:val="2"/>
  </w:num>
  <w:num w:numId="21">
    <w:abstractNumId w:val="0"/>
  </w:num>
  <w:num w:numId="22">
    <w:abstractNumId w:val="1"/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9"/>
  </w:num>
  <w:num w:numId="27">
    <w:abstractNumId w:val="1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3A22"/>
    <w:rsid w:val="00010AF5"/>
    <w:rsid w:val="000301DE"/>
    <w:rsid w:val="00165C5A"/>
    <w:rsid w:val="00176560"/>
    <w:rsid w:val="001D5D2C"/>
    <w:rsid w:val="00205F7D"/>
    <w:rsid w:val="0021346F"/>
    <w:rsid w:val="00223709"/>
    <w:rsid w:val="00336C63"/>
    <w:rsid w:val="00356F2B"/>
    <w:rsid w:val="003B1287"/>
    <w:rsid w:val="004531E7"/>
    <w:rsid w:val="00467297"/>
    <w:rsid w:val="004D7E17"/>
    <w:rsid w:val="00502DF3"/>
    <w:rsid w:val="00533395"/>
    <w:rsid w:val="00554DE6"/>
    <w:rsid w:val="00586957"/>
    <w:rsid w:val="00592374"/>
    <w:rsid w:val="005F64EA"/>
    <w:rsid w:val="00615585"/>
    <w:rsid w:val="006544E3"/>
    <w:rsid w:val="00656658"/>
    <w:rsid w:val="00692DC6"/>
    <w:rsid w:val="006E6EC2"/>
    <w:rsid w:val="00737589"/>
    <w:rsid w:val="007B5F5C"/>
    <w:rsid w:val="007F72AC"/>
    <w:rsid w:val="00845F70"/>
    <w:rsid w:val="00851CC6"/>
    <w:rsid w:val="008657BF"/>
    <w:rsid w:val="00867B5A"/>
    <w:rsid w:val="008950BB"/>
    <w:rsid w:val="008C11B4"/>
    <w:rsid w:val="008D3058"/>
    <w:rsid w:val="008E25D8"/>
    <w:rsid w:val="00950465"/>
    <w:rsid w:val="00960F83"/>
    <w:rsid w:val="00971F66"/>
    <w:rsid w:val="00AA3C02"/>
    <w:rsid w:val="00B04C5F"/>
    <w:rsid w:val="00B960BD"/>
    <w:rsid w:val="00BA7040"/>
    <w:rsid w:val="00BD03D4"/>
    <w:rsid w:val="00BD1971"/>
    <w:rsid w:val="00BF13F5"/>
    <w:rsid w:val="00C0588A"/>
    <w:rsid w:val="00C72F71"/>
    <w:rsid w:val="00CA4ED3"/>
    <w:rsid w:val="00CB7DFA"/>
    <w:rsid w:val="00D20262"/>
    <w:rsid w:val="00DC6464"/>
    <w:rsid w:val="00E60CCB"/>
    <w:rsid w:val="00EB0F2F"/>
    <w:rsid w:val="00ED2F58"/>
    <w:rsid w:val="00F17145"/>
    <w:rsid w:val="00F436E7"/>
    <w:rsid w:val="00F76AB4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BA36CA68-43CE-42EC-BE72-CB2A362A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Q69V4BqhK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ss.svarog.si/zgodovina/4/index.php?page_id=8345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5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Vilma Brodnik</cp:lastModifiedBy>
  <cp:revision>56</cp:revision>
  <dcterms:created xsi:type="dcterms:W3CDTF">2014-01-04T11:12:00Z</dcterms:created>
  <dcterms:modified xsi:type="dcterms:W3CDTF">2016-07-29T11:24:00Z</dcterms:modified>
</cp:coreProperties>
</file>