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DB" w:rsidRPr="00832DC5" w:rsidRDefault="006075DB" w:rsidP="006075D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 G</w:t>
      </w:r>
      <w:r w:rsidRPr="00832DC5">
        <w:rPr>
          <w:rFonts w:ascii="Arial" w:hAnsi="Arial" w:cs="Arial"/>
          <w:b/>
          <w:color w:val="000000"/>
        </w:rPr>
        <w:t>EOGRAFSKE IN DRUŽBENE ZNAČILNOSTI STARE GRČIJE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775301" w:rsidRPr="00443018">
        <w:rPr>
          <w:rFonts w:ascii="Arial" w:hAnsi="Arial" w:cs="Arial"/>
          <w:bCs/>
          <w:color w:val="000000"/>
        </w:rPr>
        <w:t xml:space="preserve">list </w:t>
      </w:r>
      <w:r w:rsidR="006075DB">
        <w:rPr>
          <w:rFonts w:ascii="Arial" w:hAnsi="Arial" w:cs="Arial"/>
        </w:rPr>
        <w:t>Geografske in družbene značilnosti stare Grčije</w:t>
      </w:r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6075DB" w:rsidRPr="006075DB" w:rsidRDefault="006075DB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6075DB">
        <w:rPr>
          <w:rFonts w:ascii="Arial" w:hAnsi="Arial" w:cs="Arial"/>
        </w:rPr>
        <w:t>Antika (1998). Leksikon. Ljubljana: Cankarjeva založba</w:t>
      </w:r>
      <w:r>
        <w:rPr>
          <w:rFonts w:ascii="Arial" w:hAnsi="Arial" w:cs="Arial"/>
        </w:rPr>
        <w:t>.</w:t>
      </w:r>
    </w:p>
    <w:p w:rsidR="006075DB" w:rsidRPr="006075DB" w:rsidRDefault="006075DB" w:rsidP="006075DB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Rekonstruirana antična</w:t>
      </w:r>
      <w:r w:rsidRPr="006075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grška</w:t>
      </w:r>
      <w:r w:rsidRPr="006075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glasba dostopna</w:t>
      </w:r>
      <w:r w:rsidRPr="006075DB">
        <w:rPr>
          <w:rFonts w:ascii="Arial" w:hAnsi="Arial" w:cs="Arial"/>
          <w:color w:val="000000"/>
        </w:rPr>
        <w:t xml:space="preserve"> na:</w:t>
      </w:r>
    </w:p>
    <w:p w:rsidR="006075DB" w:rsidRDefault="00EF1916" w:rsidP="006075DB">
      <w:pPr>
        <w:pStyle w:val="Odstavekseznama"/>
        <w:ind w:left="786"/>
        <w:jc w:val="both"/>
        <w:rPr>
          <w:rFonts w:ascii="Arial" w:eastAsiaTheme="minorEastAsia" w:hAnsi="Arial" w:cs="Arial"/>
          <w:kern w:val="24"/>
        </w:rPr>
      </w:pPr>
      <w:hyperlink r:id="rId7" w:history="1">
        <w:r w:rsidR="006075DB" w:rsidRPr="00CB36D1">
          <w:rPr>
            <w:rFonts w:ascii="Arial" w:eastAsiaTheme="minorEastAsia" w:hAnsi="Arial" w:cs="Arial"/>
            <w:color w:val="0070C0"/>
            <w:kern w:val="24"/>
            <w:u w:val="single"/>
          </w:rPr>
          <w:t>http://</w:t>
        </w:r>
      </w:hyperlink>
      <w:hyperlink r:id="rId8" w:history="1">
        <w:r w:rsidR="006075DB" w:rsidRPr="00CB36D1">
          <w:rPr>
            <w:rFonts w:ascii="Arial" w:eastAsiaTheme="minorEastAsia" w:hAnsi="Arial" w:cs="Arial"/>
            <w:color w:val="0070C0"/>
            <w:kern w:val="24"/>
            <w:u w:val="single"/>
          </w:rPr>
          <w:t>www.youtube.com/watch?v=elERNFoEf3Y&amp;list=PLDE004B0670A7C7BF</w:t>
        </w:r>
      </w:hyperlink>
      <w:r w:rsidR="006075DB" w:rsidRPr="00CB36D1">
        <w:rPr>
          <w:rFonts w:ascii="Arial" w:eastAsiaTheme="minorEastAsia" w:hAnsi="Arial" w:cs="Arial"/>
          <w:kern w:val="24"/>
        </w:rPr>
        <w:t>,</w:t>
      </w:r>
      <w:r w:rsidR="006075DB" w:rsidRPr="00832DC5">
        <w:rPr>
          <w:rFonts w:ascii="Arial" w:eastAsiaTheme="minorEastAsia" w:hAnsi="Arial" w:cs="Arial"/>
          <w:kern w:val="24"/>
        </w:rPr>
        <w:t xml:space="preserve"> dostop: 13. 7. 2017.  </w:t>
      </w:r>
    </w:p>
    <w:p w:rsidR="006075DB" w:rsidRPr="006075DB" w:rsidRDefault="006075DB" w:rsidP="006075DB">
      <w:pPr>
        <w:pStyle w:val="Odstavekseznama"/>
        <w:numPr>
          <w:ilvl w:val="0"/>
          <w:numId w:val="27"/>
        </w:numPr>
        <w:jc w:val="both"/>
        <w:rPr>
          <w:rFonts w:ascii="Arial" w:eastAsiaTheme="minorEastAsia" w:hAnsi="Arial" w:cs="Arial"/>
          <w:kern w:val="24"/>
        </w:rPr>
      </w:pPr>
      <w:r w:rsidRPr="006075DB">
        <w:rPr>
          <w:rFonts w:ascii="Arial" w:eastAsiaTheme="minorEastAsia" w:hAnsi="Arial" w:cs="Arial"/>
          <w:kern w:val="24"/>
        </w:rPr>
        <w:t xml:space="preserve">Hipokratova prisega na: </w:t>
      </w:r>
      <w:hyperlink r:id="rId9" w:history="1">
        <w:r w:rsidRPr="006075DB">
          <w:rPr>
            <w:rStyle w:val="Hiperpovezava"/>
            <w:rFonts w:ascii="Arial" w:hAnsi="Arial" w:cs="Arial"/>
          </w:rPr>
          <w:t>http://www.orthops.si/hipokratova_prisega-sl.php</w:t>
        </w:r>
      </w:hyperlink>
      <w:r w:rsidRPr="006075DB">
        <w:rPr>
          <w:rFonts w:ascii="Arial" w:hAnsi="Arial" w:cs="Arial"/>
        </w:rPr>
        <w:t>, dostop: 13. 7. 2017.</w:t>
      </w:r>
    </w:p>
    <w:p w:rsidR="006075DB" w:rsidRPr="006075DB" w:rsidRDefault="00EF1916" w:rsidP="006075DB">
      <w:pPr>
        <w:pStyle w:val="Odstavekseznama"/>
        <w:numPr>
          <w:ilvl w:val="0"/>
          <w:numId w:val="27"/>
        </w:numPr>
        <w:jc w:val="both"/>
        <w:rPr>
          <w:rFonts w:ascii="Arial" w:eastAsiaTheme="minorEastAsia" w:hAnsi="Arial" w:cs="Arial"/>
          <w:kern w:val="24"/>
        </w:rPr>
      </w:pPr>
      <w:r>
        <w:rPr>
          <w:rFonts w:ascii="Arial" w:hAnsi="Arial" w:cs="Arial"/>
        </w:rPr>
        <w:t>Vir</w:t>
      </w:r>
      <w:bookmarkStart w:id="0" w:name="_GoBack"/>
      <w:bookmarkEnd w:id="0"/>
      <w:r w:rsidR="006075DB">
        <w:rPr>
          <w:rFonts w:ascii="Arial" w:hAnsi="Arial" w:cs="Arial"/>
        </w:rPr>
        <w:t xml:space="preserve"> slikovnega gradiva: Wikipedia.</w:t>
      </w:r>
    </w:p>
    <w:p w:rsidR="007F72AC" w:rsidRPr="00EB0F2F" w:rsidRDefault="007F72AC" w:rsidP="00356F2B">
      <w:pPr>
        <w:rPr>
          <w:rFonts w:ascii="Arial" w:hAnsi="Arial" w:cs="Arial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Pr="00502DF3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28"/>
  </w:num>
  <w:num w:numId="6">
    <w:abstractNumId w:val="16"/>
  </w:num>
  <w:num w:numId="7">
    <w:abstractNumId w:val="24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25"/>
  </w:num>
  <w:num w:numId="13">
    <w:abstractNumId w:val="6"/>
  </w:num>
  <w:num w:numId="14">
    <w:abstractNumId w:val="27"/>
  </w:num>
  <w:num w:numId="15">
    <w:abstractNumId w:val="15"/>
  </w:num>
  <w:num w:numId="16">
    <w:abstractNumId w:val="26"/>
  </w:num>
  <w:num w:numId="17">
    <w:abstractNumId w:val="5"/>
  </w:num>
  <w:num w:numId="18">
    <w:abstractNumId w:val="20"/>
  </w:num>
  <w:num w:numId="19">
    <w:abstractNumId w:val="21"/>
  </w:num>
  <w:num w:numId="20">
    <w:abstractNumId w:val="2"/>
  </w:num>
  <w:num w:numId="21">
    <w:abstractNumId w:val="0"/>
  </w:num>
  <w:num w:numId="22">
    <w:abstractNumId w:val="1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0"/>
  </w:num>
  <w:num w:numId="28">
    <w:abstractNumId w:val="17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AF5"/>
    <w:rsid w:val="000301DE"/>
    <w:rsid w:val="00165C5A"/>
    <w:rsid w:val="001A2156"/>
    <w:rsid w:val="001D5D2C"/>
    <w:rsid w:val="00205F7D"/>
    <w:rsid w:val="0021346F"/>
    <w:rsid w:val="00223709"/>
    <w:rsid w:val="00336C63"/>
    <w:rsid w:val="00356F2B"/>
    <w:rsid w:val="0038764A"/>
    <w:rsid w:val="003B1287"/>
    <w:rsid w:val="00443018"/>
    <w:rsid w:val="004531E7"/>
    <w:rsid w:val="00467297"/>
    <w:rsid w:val="004D7E17"/>
    <w:rsid w:val="00502DF3"/>
    <w:rsid w:val="00533395"/>
    <w:rsid w:val="00554DE6"/>
    <w:rsid w:val="00586957"/>
    <w:rsid w:val="00592374"/>
    <w:rsid w:val="0059246B"/>
    <w:rsid w:val="006075DB"/>
    <w:rsid w:val="00615585"/>
    <w:rsid w:val="006544E3"/>
    <w:rsid w:val="00656658"/>
    <w:rsid w:val="00692DC6"/>
    <w:rsid w:val="006E6EC2"/>
    <w:rsid w:val="00737589"/>
    <w:rsid w:val="00775301"/>
    <w:rsid w:val="007B5F5C"/>
    <w:rsid w:val="007F72AC"/>
    <w:rsid w:val="00845F70"/>
    <w:rsid w:val="008657BF"/>
    <w:rsid w:val="00867B5A"/>
    <w:rsid w:val="008950BB"/>
    <w:rsid w:val="008C11B4"/>
    <w:rsid w:val="008D3058"/>
    <w:rsid w:val="00950465"/>
    <w:rsid w:val="00960F83"/>
    <w:rsid w:val="00971F66"/>
    <w:rsid w:val="009773F5"/>
    <w:rsid w:val="00AA3C02"/>
    <w:rsid w:val="00AB785B"/>
    <w:rsid w:val="00B960BD"/>
    <w:rsid w:val="00BA7040"/>
    <w:rsid w:val="00BD03D4"/>
    <w:rsid w:val="00BD1971"/>
    <w:rsid w:val="00BF13F5"/>
    <w:rsid w:val="00C0588A"/>
    <w:rsid w:val="00C63022"/>
    <w:rsid w:val="00C72F71"/>
    <w:rsid w:val="00CB7DFA"/>
    <w:rsid w:val="00D20262"/>
    <w:rsid w:val="00DC6464"/>
    <w:rsid w:val="00E248C0"/>
    <w:rsid w:val="00E60CCB"/>
    <w:rsid w:val="00EB0F2F"/>
    <w:rsid w:val="00EB6BEB"/>
    <w:rsid w:val="00ED2F58"/>
    <w:rsid w:val="00EF1916"/>
    <w:rsid w:val="00F17145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BA36CA68-43CE-42EC-BE72-CB2A362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lERNFoEf3Y&amp;list=PLDE004B0670A7C7BF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elERNFoEf3Y&amp;list=PLDE004B0670A7C7BF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thops.si/hipokratova_prisega-sl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62</cp:revision>
  <dcterms:created xsi:type="dcterms:W3CDTF">2014-01-04T11:12:00Z</dcterms:created>
  <dcterms:modified xsi:type="dcterms:W3CDTF">2017-07-13T11:28:00Z</dcterms:modified>
</cp:coreProperties>
</file>