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F76AB4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="00C0588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>HUMANIZEM, RENESANSA IN RAZSVETLJENSTVO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F76AB4">
        <w:rPr>
          <w:rFonts w:ascii="Arial" w:hAnsi="Arial" w:cs="Arial"/>
        </w:rPr>
        <w:t>Humanizem, renesansa in razsvetljenstvo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36123D">
        <w:rPr>
          <w:rFonts w:ascii="Arial" w:hAnsi="Arial" w:cs="Arial"/>
          <w:bCs/>
          <w:color w:val="000000"/>
        </w:rPr>
        <w:t>, Dušan, Urankar, Nataša (2010).</w:t>
      </w:r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36123D" w:rsidRPr="0036123D" w:rsidRDefault="0036123D" w:rsidP="0036123D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F76AB4" w:rsidRPr="00F76AB4" w:rsidRDefault="00F76AB4" w:rsidP="00F76AB4">
      <w:pPr>
        <w:pStyle w:val="Odstavekseznama"/>
        <w:numPr>
          <w:ilvl w:val="0"/>
          <w:numId w:val="18"/>
        </w:numPr>
        <w:tabs>
          <w:tab w:val="left" w:pos="8211"/>
        </w:tabs>
        <w:rPr>
          <w:rFonts w:ascii="Arial" w:hAnsi="Arial" w:cs="Arial"/>
        </w:rPr>
      </w:pPr>
      <w:proofErr w:type="spellStart"/>
      <w:r w:rsidRPr="00F76AB4">
        <w:rPr>
          <w:rFonts w:ascii="Arial" w:hAnsi="Arial" w:cs="Arial"/>
        </w:rPr>
        <w:t>G</w:t>
      </w:r>
      <w:r w:rsidR="0036123D">
        <w:rPr>
          <w:rFonts w:ascii="Arial" w:hAnsi="Arial" w:cs="Arial"/>
        </w:rPr>
        <w:t>ombrich</w:t>
      </w:r>
      <w:proofErr w:type="spellEnd"/>
      <w:r w:rsidR="0036123D">
        <w:rPr>
          <w:rFonts w:ascii="Arial" w:hAnsi="Arial" w:cs="Arial"/>
        </w:rPr>
        <w:t>, E. H. (1991).</w:t>
      </w:r>
      <w:bookmarkStart w:id="0" w:name="_GoBack"/>
      <w:bookmarkEnd w:id="0"/>
      <w:r w:rsidRPr="00F76AB4">
        <w:rPr>
          <w:rFonts w:ascii="Arial" w:hAnsi="Arial" w:cs="Arial"/>
        </w:rPr>
        <w:t xml:space="preserve"> Kratka svetovna zgodovina za mlade bralce. Ljubljana: DZS.</w:t>
      </w:r>
    </w:p>
    <w:p w:rsidR="00F76AB4" w:rsidRPr="00F76AB4" w:rsidRDefault="0036123D" w:rsidP="00F76AB4">
      <w:pPr>
        <w:pStyle w:val="Odstavekseznama"/>
        <w:numPr>
          <w:ilvl w:val="0"/>
          <w:numId w:val="18"/>
        </w:numPr>
        <w:tabs>
          <w:tab w:val="left" w:pos="8211"/>
        </w:tabs>
        <w:rPr>
          <w:rFonts w:ascii="Arial" w:hAnsi="Arial" w:cs="Arial"/>
        </w:rPr>
      </w:pPr>
      <w:hyperlink r:id="rId7" w:history="1">
        <w:r w:rsidR="00F76AB4" w:rsidRPr="00F76AB4">
          <w:rPr>
            <w:rStyle w:val="Hiperpovezava"/>
            <w:rFonts w:ascii="Arial" w:hAnsi="Arial" w:cs="Arial"/>
          </w:rPr>
          <w:t>http://en.wikipedia.org/wiki/Italian_Renaissance</w:t>
        </w:r>
      </w:hyperlink>
      <w:r w:rsidR="00F76AB4" w:rsidRPr="00F76AB4">
        <w:rPr>
          <w:rFonts w:ascii="Arial" w:hAnsi="Arial" w:cs="Arial"/>
        </w:rPr>
        <w:t xml:space="preserve"> (datum vpogleda: 22. 10. 2010).</w:t>
      </w:r>
    </w:p>
    <w:p w:rsidR="006E6EC2" w:rsidRPr="006E6EC2" w:rsidRDefault="006E6EC2" w:rsidP="006E6EC2">
      <w:pPr>
        <w:pStyle w:val="Odstavekseznama"/>
        <w:numPr>
          <w:ilvl w:val="0"/>
          <w:numId w:val="18"/>
        </w:numPr>
        <w:tabs>
          <w:tab w:val="left" w:pos="8211"/>
        </w:tabs>
        <w:rPr>
          <w:rFonts w:ascii="Arial" w:hAnsi="Arial" w:cs="Arial"/>
          <w:i/>
        </w:rPr>
      </w:pPr>
      <w:r w:rsidRPr="006E6EC2">
        <w:rPr>
          <w:rFonts w:ascii="Arial" w:hAnsi="Arial" w:cs="Arial"/>
        </w:rPr>
        <w:t>(</w:t>
      </w:r>
      <w:hyperlink r:id="rId8" w:anchor="/media/File:%27David%27_by_Michelangelo_JBU0001.JPG" w:history="1">
        <w:r w:rsidRPr="006E6EC2">
          <w:rPr>
            <w:rStyle w:val="Hiperpovezava"/>
            <w:rFonts w:ascii="Arial" w:hAnsi="Arial" w:cs="Arial"/>
          </w:rPr>
          <w:t>https://en.wikipedia.org/wiki/David_(Michelangelo)#/media/File:%27David%27_by_Michelangelo_JBU0001.JPG</w:t>
        </w:r>
      </w:hyperlink>
      <w:r w:rsidRPr="006E6EC2">
        <w:rPr>
          <w:rFonts w:ascii="Arial" w:hAnsi="Arial" w:cs="Arial"/>
          <w:i/>
        </w:rPr>
        <w:t xml:space="preserve">) </w:t>
      </w:r>
    </w:p>
    <w:p w:rsidR="00F76AB4" w:rsidRPr="00F76AB4" w:rsidRDefault="00F76AB4" w:rsidP="006E6EC2">
      <w:pPr>
        <w:pStyle w:val="Odstavekseznama"/>
        <w:tabs>
          <w:tab w:val="left" w:pos="8211"/>
        </w:tabs>
        <w:ind w:left="502"/>
        <w:rPr>
          <w:rFonts w:ascii="Arial" w:hAnsi="Arial" w:cs="Arial"/>
        </w:rPr>
      </w:pPr>
      <w:r w:rsidRPr="00F76AB4">
        <w:rPr>
          <w:rFonts w:ascii="Arial" w:hAnsi="Arial" w:cs="Arial"/>
        </w:rPr>
        <w:t xml:space="preserve"> (datum vpogleda: 22. 10. 2010).</w:t>
      </w:r>
    </w:p>
    <w:p w:rsidR="00F76AB4" w:rsidRDefault="0036123D" w:rsidP="00F76AB4">
      <w:pPr>
        <w:pStyle w:val="Odstavekseznama"/>
        <w:numPr>
          <w:ilvl w:val="0"/>
          <w:numId w:val="18"/>
        </w:numPr>
        <w:tabs>
          <w:tab w:val="left" w:pos="8211"/>
        </w:tabs>
        <w:rPr>
          <w:rFonts w:ascii="Arial" w:hAnsi="Arial" w:cs="Arial"/>
        </w:rPr>
      </w:pPr>
      <w:hyperlink r:id="rId9" w:history="1">
        <w:r w:rsidR="00F76AB4" w:rsidRPr="00712D36">
          <w:rPr>
            <w:rStyle w:val="Hiperpovezava"/>
            <w:rFonts w:ascii="Arial" w:hAnsi="Arial" w:cs="Arial"/>
          </w:rPr>
          <w:t>http://en.wikipedia.org/wiki/Sandro_Botticelli</w:t>
        </w:r>
      </w:hyperlink>
      <w:r w:rsidR="00F76AB4">
        <w:rPr>
          <w:rFonts w:ascii="Arial" w:hAnsi="Arial" w:cs="Arial"/>
        </w:rPr>
        <w:t xml:space="preserve">  </w:t>
      </w:r>
      <w:r w:rsidR="00F76AB4" w:rsidRPr="00F76AB4">
        <w:rPr>
          <w:rFonts w:ascii="Arial" w:hAnsi="Arial" w:cs="Arial"/>
        </w:rPr>
        <w:t>(datum vpogleda: 22. 10. 2010).</w:t>
      </w:r>
    </w:p>
    <w:p w:rsidR="006E6EC2" w:rsidRPr="00F76AB4" w:rsidRDefault="0036123D" w:rsidP="006E6EC2">
      <w:pPr>
        <w:pStyle w:val="Odstavekseznama"/>
        <w:numPr>
          <w:ilvl w:val="0"/>
          <w:numId w:val="18"/>
        </w:numPr>
        <w:tabs>
          <w:tab w:val="left" w:pos="8211"/>
        </w:tabs>
        <w:rPr>
          <w:rFonts w:ascii="Arial" w:hAnsi="Arial" w:cs="Arial"/>
        </w:rPr>
      </w:pPr>
      <w:hyperlink r:id="rId10" w:anchor="/media/File:Second_Folio_Title_Page_of_Julius_Caesar.jpg" w:history="1">
        <w:r w:rsidR="006E6EC2" w:rsidRPr="00712D36">
          <w:rPr>
            <w:rStyle w:val="Hiperpovezava"/>
            <w:rFonts w:ascii="Arial" w:hAnsi="Arial" w:cs="Arial"/>
          </w:rPr>
          <w:t>https://en.wikipedia.org/wiki/Julius_Caesar_(play)#/media/File:Second_Folio_Title_Page_of_Julius_Caesar.jpg</w:t>
        </w:r>
      </w:hyperlink>
      <w:r w:rsidR="006E6EC2">
        <w:rPr>
          <w:rFonts w:ascii="Arial" w:hAnsi="Arial" w:cs="Arial"/>
        </w:rPr>
        <w:t xml:space="preserve"> (datum vpogleda: 22. 10. 2010).</w:t>
      </w:r>
    </w:p>
    <w:p w:rsidR="00554DE6" w:rsidRPr="00C72F71" w:rsidRDefault="00554DE6" w:rsidP="00C72F71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23709"/>
    <w:rsid w:val="00336C63"/>
    <w:rsid w:val="00356F2B"/>
    <w:rsid w:val="0036123D"/>
    <w:rsid w:val="003B1287"/>
    <w:rsid w:val="00467297"/>
    <w:rsid w:val="004D7E17"/>
    <w:rsid w:val="00554DE6"/>
    <w:rsid w:val="00586957"/>
    <w:rsid w:val="00615585"/>
    <w:rsid w:val="006544E3"/>
    <w:rsid w:val="00692DC6"/>
    <w:rsid w:val="006E6EC2"/>
    <w:rsid w:val="00845F70"/>
    <w:rsid w:val="008657BF"/>
    <w:rsid w:val="00867B5A"/>
    <w:rsid w:val="008950BB"/>
    <w:rsid w:val="008C11B4"/>
    <w:rsid w:val="008D3058"/>
    <w:rsid w:val="00960F83"/>
    <w:rsid w:val="00BD03D4"/>
    <w:rsid w:val="00C0588A"/>
    <w:rsid w:val="00C72F71"/>
    <w:rsid w:val="00CB7DFA"/>
    <w:rsid w:val="00D20262"/>
    <w:rsid w:val="00DC6464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avid_(Michelangelo)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talian_Renaissance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Julius_Caesar_(play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andro_Botticelli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30</cp:revision>
  <dcterms:created xsi:type="dcterms:W3CDTF">2014-01-04T11:12:00Z</dcterms:created>
  <dcterms:modified xsi:type="dcterms:W3CDTF">2016-09-06T08:09:00Z</dcterms:modified>
</cp:coreProperties>
</file>