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88A" w:rsidRPr="00D26B15" w:rsidRDefault="00165C5A" w:rsidP="00C0588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9. ZAČETKI INDUSTRIALIZACIJE V ANGLIJI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8950BB" w:rsidRPr="00C0588A" w:rsidRDefault="00CB7DFA" w:rsidP="00C0588A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r w:rsidRPr="008950BB">
        <w:rPr>
          <w:rFonts w:ascii="Arial" w:hAnsi="Arial" w:cs="Arial"/>
          <w:bCs/>
          <w:color w:val="000000"/>
        </w:rPr>
        <w:t>Delovn</w:t>
      </w:r>
      <w:r w:rsidR="00960F83">
        <w:rPr>
          <w:rFonts w:ascii="Arial" w:hAnsi="Arial" w:cs="Arial"/>
          <w:bCs/>
          <w:color w:val="000000"/>
        </w:rPr>
        <w:t xml:space="preserve">i list </w:t>
      </w:r>
      <w:r w:rsidR="00165C5A">
        <w:rPr>
          <w:rFonts w:ascii="Arial" w:hAnsi="Arial" w:cs="Arial"/>
        </w:rPr>
        <w:t>Začetki industrializacije v Angliji</w:t>
      </w:r>
      <w:r w:rsidR="00960F83" w:rsidRPr="00960F83">
        <w:rPr>
          <w:rFonts w:ascii="Arial" w:hAnsi="Arial" w:cs="Arial"/>
          <w:bCs/>
          <w:color w:val="000000"/>
        </w:rPr>
        <w:t>.</w:t>
      </w:r>
    </w:p>
    <w:p w:rsidR="008950BB" w:rsidRDefault="008950BB" w:rsidP="003B1287">
      <w:pPr>
        <w:pStyle w:val="Odstavekseznam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 w:rsidRPr="008950BB">
        <w:rPr>
          <w:rFonts w:ascii="Arial" w:hAnsi="Arial" w:cs="Arial"/>
          <w:bCs/>
          <w:color w:val="000000"/>
        </w:rPr>
        <w:t>Mlacović</w:t>
      </w:r>
      <w:proofErr w:type="spellEnd"/>
      <w:r w:rsidRPr="008950BB">
        <w:rPr>
          <w:rFonts w:ascii="Arial" w:hAnsi="Arial" w:cs="Arial"/>
          <w:bCs/>
          <w:color w:val="000000"/>
        </w:rPr>
        <w:t>, Dušan, Urankar, Nataša (2010)</w:t>
      </w:r>
      <w:r w:rsidR="00877F2E">
        <w:rPr>
          <w:rFonts w:ascii="Arial" w:hAnsi="Arial" w:cs="Arial"/>
          <w:bCs/>
          <w:color w:val="000000"/>
        </w:rPr>
        <w:t>.</w:t>
      </w:r>
      <w:bookmarkStart w:id="0" w:name="_GoBack"/>
      <w:bookmarkEnd w:id="0"/>
      <w:r w:rsidRPr="008950BB">
        <w:rPr>
          <w:rFonts w:ascii="Arial" w:hAnsi="Arial" w:cs="Arial"/>
          <w:bCs/>
          <w:color w:val="000000"/>
        </w:rPr>
        <w:t xml:space="preserve"> Zgodovina 2, Učbenik za drugi letnik gimnazije. Ljubljana: DZS.</w:t>
      </w:r>
    </w:p>
    <w:p w:rsidR="00877F2E" w:rsidRPr="00877F2E" w:rsidRDefault="00877F2E" w:rsidP="00877F2E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Brodnik, Vilma, Babič, Dragica (2014). Zgodovina 2. Delovni zvezek za drugi letnik gimnazije. Ljubljana: DZS.</w:t>
      </w:r>
    </w:p>
    <w:p w:rsidR="00165C5A" w:rsidRPr="00165C5A" w:rsidRDefault="00877F2E" w:rsidP="00165C5A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7" w:history="1">
        <w:r w:rsidR="00165C5A" w:rsidRPr="00165C5A">
          <w:rPr>
            <w:rStyle w:val="Hiperpovezava"/>
            <w:rFonts w:ascii="Arial" w:hAnsi="Arial" w:cs="Arial"/>
          </w:rPr>
          <w:t>http://translate.google.si/translate?hl=sl&amp;langpair=en|sl&amp;u=http://www.saburchill.com/history/chapters/IR/009.html</w:t>
        </w:r>
      </w:hyperlink>
      <w:r w:rsidR="00165C5A" w:rsidRPr="00165C5A">
        <w:rPr>
          <w:rFonts w:ascii="Arial" w:hAnsi="Arial" w:cs="Arial"/>
        </w:rPr>
        <w:t xml:space="preserve"> (datum vpogleda: 14. 10. 2010).</w:t>
      </w:r>
    </w:p>
    <w:p w:rsidR="00165C5A" w:rsidRPr="00165C5A" w:rsidRDefault="00877F2E" w:rsidP="00165C5A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8" w:history="1">
        <w:r w:rsidR="00165C5A" w:rsidRPr="00165C5A">
          <w:rPr>
            <w:rStyle w:val="Hiperpovezava"/>
            <w:rFonts w:ascii="Arial" w:hAnsi="Arial" w:cs="Arial"/>
          </w:rPr>
          <w:t>http://www.educa.fmf.uni-lj.si/izodel/sola/2000/di/lahajnar/delo/watt.html</w:t>
        </w:r>
      </w:hyperlink>
      <w:r w:rsidR="00165C5A" w:rsidRPr="00165C5A">
        <w:rPr>
          <w:rFonts w:ascii="Arial" w:hAnsi="Arial" w:cs="Arial"/>
        </w:rPr>
        <w:t xml:space="preserve"> (datum vpogleda: 13. 10. 2010).</w:t>
      </w:r>
    </w:p>
    <w:p w:rsidR="00165C5A" w:rsidRPr="00165C5A" w:rsidRDefault="00877F2E" w:rsidP="00165C5A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9" w:history="1">
        <w:r w:rsidR="00165C5A" w:rsidRPr="00165C5A">
          <w:rPr>
            <w:rStyle w:val="Hiperpovezava"/>
            <w:rFonts w:ascii="Arial" w:hAnsi="Arial" w:cs="Arial"/>
          </w:rPr>
          <w:t>http://en.wikipedia.org/wiki/British_Agricultural_Revolution</w:t>
        </w:r>
      </w:hyperlink>
      <w:r w:rsidR="00165C5A" w:rsidRPr="00165C5A">
        <w:rPr>
          <w:rFonts w:ascii="Arial" w:hAnsi="Arial" w:cs="Arial"/>
        </w:rPr>
        <w:t xml:space="preserve"> (datum vpogleda: 14. 10. 2010).</w:t>
      </w:r>
    </w:p>
    <w:p w:rsidR="00165C5A" w:rsidRPr="00165C5A" w:rsidRDefault="00877F2E" w:rsidP="00165C5A">
      <w:pPr>
        <w:pStyle w:val="Odstavekseznama"/>
        <w:numPr>
          <w:ilvl w:val="0"/>
          <w:numId w:val="18"/>
        </w:numPr>
        <w:rPr>
          <w:rFonts w:ascii="Arial" w:hAnsi="Arial" w:cs="Arial"/>
          <w:noProof/>
        </w:rPr>
      </w:pPr>
      <w:hyperlink r:id="rId10" w:history="1">
        <w:r w:rsidR="00165C5A" w:rsidRPr="00165C5A">
          <w:rPr>
            <w:rStyle w:val="Hiperpovezava"/>
            <w:rFonts w:ascii="Arial" w:hAnsi="Arial" w:cs="Arial"/>
            <w:noProof/>
          </w:rPr>
          <w:t>http://en.wikipedia.org/wiki/George_Stephenson</w:t>
        </w:r>
      </w:hyperlink>
      <w:r w:rsidR="00165C5A" w:rsidRPr="00165C5A">
        <w:rPr>
          <w:rFonts w:ascii="Arial" w:hAnsi="Arial" w:cs="Arial"/>
          <w:noProof/>
        </w:rPr>
        <w:t xml:space="preserve"> (datum vpogleda: 13. 10. 2010).</w:t>
      </w:r>
    </w:p>
    <w:p w:rsidR="00165C5A" w:rsidRPr="00165C5A" w:rsidRDefault="00877F2E" w:rsidP="00165C5A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11" w:history="1">
        <w:r w:rsidR="00165C5A" w:rsidRPr="00165C5A">
          <w:rPr>
            <w:rStyle w:val="Hiperpovezava"/>
            <w:rFonts w:ascii="Arial" w:hAnsi="Arial" w:cs="Arial"/>
          </w:rPr>
          <w:t>http://www.iment.com/maida/familytree/henry/history/clermont/index.htm</w:t>
        </w:r>
      </w:hyperlink>
      <w:r w:rsidR="00165C5A" w:rsidRPr="00165C5A">
        <w:rPr>
          <w:rFonts w:ascii="Arial" w:hAnsi="Arial" w:cs="Arial"/>
        </w:rPr>
        <w:t xml:space="preserve"> (datum vpogleda: 14. 10. 2010).</w:t>
      </w:r>
    </w:p>
    <w:p w:rsidR="00165C5A" w:rsidRPr="00165C5A" w:rsidRDefault="00877F2E" w:rsidP="00165C5A">
      <w:pPr>
        <w:pStyle w:val="Odstavekseznama"/>
        <w:numPr>
          <w:ilvl w:val="0"/>
          <w:numId w:val="18"/>
        </w:numPr>
        <w:rPr>
          <w:rFonts w:ascii="Arial" w:hAnsi="Arial" w:cs="Arial"/>
        </w:rPr>
      </w:pPr>
      <w:hyperlink r:id="rId12" w:history="1">
        <w:r w:rsidR="00165C5A" w:rsidRPr="00165C5A">
          <w:rPr>
            <w:rStyle w:val="Hiperpovezava"/>
            <w:rFonts w:ascii="Arial" w:hAnsi="Arial" w:cs="Arial"/>
          </w:rPr>
          <w:t>http://www.greenpepperblog.com/greenpepper_blog/clean-energy/</w:t>
        </w:r>
      </w:hyperlink>
      <w:r w:rsidR="00165C5A" w:rsidRPr="00165C5A">
        <w:rPr>
          <w:rFonts w:ascii="Arial" w:hAnsi="Arial" w:cs="Arial"/>
        </w:rPr>
        <w:t xml:space="preserve"> (datum vpogleda: 14. 10. 2010).</w:t>
      </w:r>
    </w:p>
    <w:p w:rsidR="00165C5A" w:rsidRDefault="00877F2E" w:rsidP="00165C5A">
      <w:pPr>
        <w:pStyle w:val="Odstavekseznama"/>
        <w:numPr>
          <w:ilvl w:val="0"/>
          <w:numId w:val="18"/>
        </w:numPr>
        <w:rPr>
          <w:rFonts w:ascii="Arial" w:hAnsi="Arial" w:cs="Arial"/>
          <w:noProof/>
        </w:rPr>
      </w:pPr>
      <w:hyperlink r:id="rId13" w:history="1">
        <w:r w:rsidR="00165C5A" w:rsidRPr="00FC70B0">
          <w:rPr>
            <w:rStyle w:val="Hiperpovezava"/>
            <w:rFonts w:ascii="Arial" w:hAnsi="Arial" w:cs="Arial"/>
            <w:noProof/>
          </w:rPr>
          <w:t>http://www.slo-zeleznice.si/sl/skupina-slovenske-zeleznice/predstavitev/zelezniski-muzej</w:t>
        </w:r>
      </w:hyperlink>
      <w:r w:rsidR="00165C5A">
        <w:rPr>
          <w:rFonts w:ascii="Arial" w:hAnsi="Arial" w:cs="Arial"/>
          <w:noProof/>
        </w:rPr>
        <w:t xml:space="preserve"> (datum vpogleda: 25. 7. 2016).</w:t>
      </w:r>
    </w:p>
    <w:p w:rsidR="00165C5A" w:rsidRPr="00165C5A" w:rsidRDefault="00877F2E" w:rsidP="00165C5A">
      <w:pPr>
        <w:pStyle w:val="Odstavekseznama"/>
        <w:numPr>
          <w:ilvl w:val="0"/>
          <w:numId w:val="18"/>
        </w:numPr>
        <w:rPr>
          <w:rFonts w:ascii="Arial" w:hAnsi="Arial" w:cs="Arial"/>
          <w:noProof/>
        </w:rPr>
      </w:pPr>
      <w:hyperlink r:id="rId14" w:history="1">
        <w:r w:rsidR="00165C5A" w:rsidRPr="00165C5A">
          <w:rPr>
            <w:rStyle w:val="Hiperpovezava"/>
            <w:rFonts w:ascii="Arial" w:hAnsi="Arial" w:cs="Arial"/>
            <w:noProof/>
          </w:rPr>
          <w:t>http://www.google.si/imgres?imgurl</w:t>
        </w:r>
      </w:hyperlink>
      <w:r w:rsidR="00165C5A" w:rsidRPr="00165C5A">
        <w:rPr>
          <w:rFonts w:ascii="Arial" w:hAnsi="Arial" w:cs="Arial"/>
          <w:noProof/>
        </w:rPr>
        <w:t xml:space="preserve"> (datum vpogleda: 14. 10. 2010).</w:t>
      </w:r>
    </w:p>
    <w:p w:rsidR="007F72AC" w:rsidRDefault="007F72AC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lastRenderedPageBreak/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0"/>
  </w:num>
  <w:num w:numId="5">
    <w:abstractNumId w:val="22"/>
  </w:num>
  <w:num w:numId="6">
    <w:abstractNumId w:val="12"/>
  </w:num>
  <w:num w:numId="7">
    <w:abstractNumId w:val="18"/>
  </w:num>
  <w:num w:numId="8">
    <w:abstractNumId w:val="7"/>
  </w:num>
  <w:num w:numId="9">
    <w:abstractNumId w:val="17"/>
  </w:num>
  <w:num w:numId="10">
    <w:abstractNumId w:val="6"/>
  </w:num>
  <w:num w:numId="11">
    <w:abstractNumId w:val="13"/>
  </w:num>
  <w:num w:numId="12">
    <w:abstractNumId w:val="19"/>
  </w:num>
  <w:num w:numId="13">
    <w:abstractNumId w:val="5"/>
  </w:num>
  <w:num w:numId="14">
    <w:abstractNumId w:val="21"/>
  </w:num>
  <w:num w:numId="15">
    <w:abstractNumId w:val="11"/>
  </w:num>
  <w:num w:numId="16">
    <w:abstractNumId w:val="20"/>
  </w:num>
  <w:num w:numId="17">
    <w:abstractNumId w:val="4"/>
  </w:num>
  <w:num w:numId="18">
    <w:abstractNumId w:val="15"/>
  </w:num>
  <w:num w:numId="19">
    <w:abstractNumId w:val="16"/>
  </w:num>
  <w:num w:numId="20">
    <w:abstractNumId w:val="2"/>
  </w:num>
  <w:num w:numId="21">
    <w:abstractNumId w:val="0"/>
  </w:num>
  <w:num w:numId="22">
    <w:abstractNumId w:val="1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67297"/>
    <w:rsid w:val="004D7E17"/>
    <w:rsid w:val="00554DE6"/>
    <w:rsid w:val="00586957"/>
    <w:rsid w:val="00615585"/>
    <w:rsid w:val="006544E3"/>
    <w:rsid w:val="00656658"/>
    <w:rsid w:val="00692DC6"/>
    <w:rsid w:val="006E6EC2"/>
    <w:rsid w:val="007B5F5C"/>
    <w:rsid w:val="007F72AC"/>
    <w:rsid w:val="00845F70"/>
    <w:rsid w:val="008657BF"/>
    <w:rsid w:val="00867B5A"/>
    <w:rsid w:val="00877F2E"/>
    <w:rsid w:val="008950BB"/>
    <w:rsid w:val="008C11B4"/>
    <w:rsid w:val="008D3058"/>
    <w:rsid w:val="00960F83"/>
    <w:rsid w:val="00AA3C02"/>
    <w:rsid w:val="00BD03D4"/>
    <w:rsid w:val="00C0588A"/>
    <w:rsid w:val="00C72F71"/>
    <w:rsid w:val="00CB7DFA"/>
    <w:rsid w:val="00D20262"/>
    <w:rsid w:val="00DC6464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fmf.uni-lj.si/izodel/sola/2000/di/lahajnar/delo/watt.html" TargetMode="External"/><Relationship Id="rId13" Type="http://schemas.openxmlformats.org/officeDocument/2006/relationships/hyperlink" Target="http://www.slo-zeleznice.si/sl/skupina-slovenske-zeleznice/predstavitev/zelezniski-muzej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ranslate.google.si/translate?hl=sl&amp;langpair=en|sl&amp;u=http://www.saburchill.com/history/chapters/IR/009.html" TargetMode="External"/><Relationship Id="rId12" Type="http://schemas.openxmlformats.org/officeDocument/2006/relationships/hyperlink" Target="http://www.greenpepperblog.com/greenpepper_blog/clean-energy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ent.com/maida/familytree/henry/history/clermont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0" Type="http://schemas.openxmlformats.org/officeDocument/2006/relationships/hyperlink" Target="http://en.wikipedia.org/wiki/George_Stephens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British_Agricultural_Revolution" TargetMode="External"/><Relationship Id="rId14" Type="http://schemas.openxmlformats.org/officeDocument/2006/relationships/hyperlink" Target="http://www.google.si/imgres?imgur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36</cp:revision>
  <dcterms:created xsi:type="dcterms:W3CDTF">2014-01-04T11:12:00Z</dcterms:created>
  <dcterms:modified xsi:type="dcterms:W3CDTF">2016-09-06T08:12:00Z</dcterms:modified>
</cp:coreProperties>
</file>